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6"/>
        <w:tblGridChange w:id="0">
          <w:tblGrid>
            <w:gridCol w:w="7026"/>
          </w:tblGrid>
        </w:tblGridChange>
      </w:tblGrid>
      <w:tr>
        <w:trPr>
          <w:cantSplit w:val="0"/>
          <w:trHeight w:val="10894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  <w:tab w:val="center" w:leader="none" w:pos="4677"/>
              </w:tabs>
              <w:spacing w:after="0" w:before="0" w:line="240" w:lineRule="auto"/>
              <w:ind w:left="8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Научно-образовательный центр «Перспектива»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  <w:tab w:val="center" w:leader="none" w:pos="4677"/>
              </w:tabs>
              <w:spacing w:after="0" w:before="0" w:line="240" w:lineRule="auto"/>
              <w:ind w:left="8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Международный Конкурс научно-исследовательских работ учёных: «Научные исследования и разработки 2026»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Приглашаем Вас принять участие в Международном конкурсе: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Научные исследования и разработки-2026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», по всем научным направлениям. Участниками конкурса могут стать: ученые, студенты, магистранты, аспиранты, педагоги.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Условия участия в конкурсе: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1. Участником конкурса может быть только физическое лицо.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Возраст участников не регламентируется.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Количество заявок от одного участника не ограничено. На каждую работу заявка оформляется отдельно.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4.Конкурсные работы принимаются на русском и английском языке.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Объем конкурсной работы не ограничен и может составлять любое количество знаков без пробелов.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 Допустимое количество авторов для одной работы - не более 3 авторов.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Работы, не отвечающие условиям конкурса или представленные с нарушением требований, могут быть не приняты к рассмотрению.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9" w:right="10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 участию в конкурсе принимаются научные работы, которые уже были написаны или защищены не более, чем 5 лет с момента их публикации. Принимаются также работы, которые не были опубликованы в других отечественных или зарубежных изданиях.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0"/>
              </w:tabs>
              <w:spacing w:after="0" w:before="75" w:line="240" w:lineRule="auto"/>
              <w:ind w:left="119" w:right="0" w:firstLine="46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Конкурс проводится по 8 номинациям: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«Лучшая выпускная квалификационная работа»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«Лучшая курсовая работа»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«Лучшая научная статья»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«Лучшая научно-исследовательская работа»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«Лучший научный проект»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«Лучший отчет по практике»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«Лучший тезис»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" w:right="0" w:hanging="28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«Лучшее научное эссе»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9"/>
              </w:tabs>
              <w:spacing w:after="0" w:before="0" w:line="240" w:lineRule="auto"/>
              <w:ind w:left="47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На конкурс принимаются научные статьи по следующим направлениям: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67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418"/>
              <w:gridCol w:w="3253"/>
              <w:tblGridChange w:id="0">
                <w:tblGrid>
                  <w:gridCol w:w="3418"/>
                  <w:gridCol w:w="3253"/>
                </w:tblGrid>
              </w:tblGridChange>
            </w:tblGrid>
            <w:tr>
              <w:trPr>
                <w:cantSplit w:val="0"/>
                <w:trHeight w:val="522" w:hRule="atLeast"/>
                <w:tblHeader w:val="0"/>
              </w:trPr>
              <w:tc>
                <w:tcPr>
                  <w:tcBorders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Археология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Сельскохозяйственные науки</w:t>
                  </w:r>
                </w:p>
              </w:tc>
            </w:tr>
            <w:tr>
              <w:trPr>
                <w:cantSplit w:val="0"/>
                <w:trHeight w:val="579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Биологические науки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Психология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Географические науки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Социологические науки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Искусство и дизайн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Строительство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Исторические науки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Технические науки</w:t>
                  </w:r>
                </w:p>
              </w:tc>
            </w:tr>
            <w:tr>
              <w:trPr>
                <w:cantSplit w:val="0"/>
                <w:trHeight w:val="579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Компьютерные науки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Туризм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Культурология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Физико-математические науки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Медиакоммуникации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Филологические науки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Медицинские науки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Философские науки</w:t>
                  </w:r>
                </w:p>
              </w:tc>
            </w:tr>
            <w:tr>
              <w:trPr>
                <w:cantSplit w:val="0"/>
                <w:trHeight w:val="579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Науки о Земле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5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Химические науки</w:t>
                  </w:r>
                </w:p>
              </w:tc>
            </w:tr>
            <w:tr>
              <w:trPr>
                <w:cantSplit w:val="0"/>
                <w:trHeight w:val="57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Педагогика</w:t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Экономика, финансы и менеджмент</w:t>
                  </w:r>
                </w:p>
              </w:tc>
            </w:tr>
            <w:tr>
              <w:trPr>
                <w:cantSplit w:val="0"/>
                <w:trHeight w:val="587" w:hRule="atLeast"/>
                <w:tblHeader w:val="0"/>
              </w:trPr>
              <w:tc>
                <w:tcPr>
                  <w:tcBorders>
                    <w:top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Политические науки</w:t>
                  </w:r>
                </w:p>
              </w:tc>
              <w:tc>
                <w:tcPr>
                  <w:tcBorders>
                    <w:top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63" w:line="276" w:lineRule="auto"/>
                    <w:ind w:left="11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Юриспруденция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Порядок участия: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 участия в конкурсе необходимо до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апреля 2026 г. (включительно) на электронный адрес оргкомитета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70f0"/>
                  <w:sz w:val="20"/>
                  <w:szCs w:val="20"/>
                  <w:highlight w:val="cyan"/>
                  <w:u w:val="single"/>
                  <w:vertAlign w:val="baseline"/>
                  <w:rtl w:val="0"/>
                </w:rPr>
                <w:t xml:space="preserve">contest@pirspectiv.ru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направить: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Заполненную регистрационную форму.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Электронный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вариант работы в формате MS Word или PDF.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файла и регистрационной работы - ФИО автора: (Пример: Иванов И.И. - рег.карта, Иванов И.И.- конкурсная работа 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 теме письма указать: «Научные исследования и разработки-2026»!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Сроки проведения конкурса: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Конкурс проводится в два этапа: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Прием конкурсных работ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1.04.2026г. -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.04.2026г.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(включительно).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.04.2026-1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.04.2026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Сбор организационного комитета и подведение итогов Международного  конкурса: 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Научные исследования и разработки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». По итогам конкурса будут опубликованы списки победителей конкурса.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7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Публикация списка победителей на сайте: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800080"/>
                  <w:sz w:val="22"/>
                  <w:szCs w:val="22"/>
                  <w:highlight w:val="cyan"/>
                  <w:u w:val="single"/>
                  <w:vertAlign w:val="baseline"/>
                  <w:rtl w:val="0"/>
                </w:rPr>
                <w:t xml:space="preserve">www.pirspectiv.ru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Требования к оформлению научной работы: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0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связи с приемом конкурсных работ по различным номинациям разрешается оформление работ в свободном формате. Это означает, что участник конкурса имеет право прислать конкурсную работу в том оформлении, в котором она была уже выполнена. Если работа написана непосредственно для данного конкурса и не была опубликована / защищена ранее, то Вы имеете право выслать работу в том формате, в котором она уже у Вас выполнена.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9" w:right="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" w:line="276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Предоставление наградных документов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Победители по итогам конкурса имеют право получить Диплом победителя конкурса и Благодарность научному руководителю (при указании научного руководителя в регистрационной карте) в электронном формате по каждой номинации посредством электронной рассылки на почты участников конкурса. Данные документы имеют значимость для получения Повышенной Государственной Академической стипендии (ПГАС), а для педагогов - аттестации.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Каждому участнику предоставляется Сертификат участника конкурса в электронном формате посредством электронной рассылки.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-55" w:firstLine="0"/>
              <w:jc w:val="left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-55" w:firstLine="0"/>
              <w:jc w:val="left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-55" w:firstLine="0"/>
              <w:jc w:val="left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-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Участие в Конкурсе и выдача сертификатов участника производится на бесплатной основе.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-5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-5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400 рублей – Организационный взнос за получение Диплома победителя Конкурса, если участник является Победителем I, II или III степени.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Оргвзнос вносится после подведения итогов мероприятия и публикации списка победителей.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Оргвзнос вносится за каждый наградной документ. Оргвзнос можно внести одной суммой если Вы стали Дипломантом по нескольким номинациям.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Собранные средства используются для возмещения организационных расходов по проведению научного мероприятия.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</w:tabs>
              <w:spacing w:after="0" w:before="0" w:line="240" w:lineRule="auto"/>
              <w:ind w:left="119" w:right="10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получения диплома победителя Вам необходимо отправить письмо на почту: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70f0"/>
                  <w:sz w:val="20"/>
                  <w:szCs w:val="20"/>
                  <w:highlight w:val="cyan"/>
                  <w:u w:val="single"/>
                  <w:vertAlign w:val="baseline"/>
                  <w:rtl w:val="0"/>
                </w:rPr>
                <w:t xml:space="preserve">contest@pirspectiv.ru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 текстом в теме письма: «Диплом». В письме укажите Ваше ФИО и название мероприятия. Ответным письмом Вам будут направлены реквизиты для оплаты орг.взноса диплома, после оплаты просим прислать на почту: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70f0"/>
                  <w:sz w:val="20"/>
                  <w:szCs w:val="20"/>
                  <w:highlight w:val="cyan"/>
                  <w:u w:val="single"/>
                  <w:vertAlign w:val="baseline"/>
                  <w:rtl w:val="0"/>
                </w:rPr>
                <w:t xml:space="preserve">contest@pirspectiv.ru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фото или скан чека подтверждения оплаты орг. взноса. Вам будет отправлен диплом в течение 5 дней с момента получения чека оплаты.</w:t>
            </w:r>
          </w:p>
          <w:p w:rsidR="00000000" w:rsidDel="00000000" w:rsidP="00000000" w:rsidRDefault="00000000" w:rsidRPr="00000000" w14:paraId="0000005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Приложение 1</w:t>
            </w:r>
          </w:p>
          <w:p w:rsidR="00000000" w:rsidDel="00000000" w:rsidP="00000000" w:rsidRDefault="00000000" w:rsidRPr="00000000" w14:paraId="000000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Регистрационная карта участника конкурса «Научные исследования и разработки 2026»</w:t>
            </w:r>
          </w:p>
          <w:tbl>
            <w:tblPr>
              <w:tblStyle w:val="Table3"/>
              <w:tblW w:w="722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41"/>
              <w:gridCol w:w="2384"/>
              <w:tblGridChange w:id="0">
                <w:tblGrid>
                  <w:gridCol w:w="4841"/>
                  <w:gridCol w:w="23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Ф.И.О. автора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-80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Место учебы/работы (ВУЗ)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-2245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Должность, кафедра без сокращений, ученая степень,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-2245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ученое звание (если есть)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Телефон мобильный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Название конкурсной работы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24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Номинация конкурсной работы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839"/>
                    </w:tabs>
                    <w:spacing w:after="0" w:before="4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«Лучшая научно-исследовательская работа» (ПРИМЕР)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2"/>
                <w:szCs w:val="22"/>
                <w:highlight w:val="cy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Контактная информация: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highlight w:val="cyan"/>
                  <w:u w:val="single"/>
                  <w:vertAlign w:val="baseline"/>
                  <w:rtl w:val="0"/>
                </w:rPr>
                <w:t xml:space="preserve">www.pirspectiv.ru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70f0"/>
                  <w:sz w:val="22"/>
                  <w:szCs w:val="22"/>
                  <w:highlight w:val="cyan"/>
                  <w:u w:val="single"/>
                  <w:vertAlign w:val="baseline"/>
                  <w:rtl w:val="0"/>
                </w:rPr>
                <w:t xml:space="preserve">contest@pirspectiv.ru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highlight w:val="cy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74" w:top="259" w:left="1138" w:right="1138" w:header="708" w:footer="708"/>
      <w:pgNumType w:start="1"/>
      <w:cols w:equalWidth="0" w:num="2">
        <w:col w:space="425" w:w="7068.5"/>
        <w:col w:space="0" w:w="706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test@pirspectiv.ru" TargetMode="External"/><Relationship Id="rId10" Type="http://schemas.openxmlformats.org/officeDocument/2006/relationships/hyperlink" Target="http://www.pirspectiv.ru" TargetMode="External"/><Relationship Id="rId9" Type="http://schemas.openxmlformats.org/officeDocument/2006/relationships/hyperlink" Target="mailto:contest@pirspectiv.ru" TargetMode="External"/><Relationship Id="rId5" Type="http://schemas.openxmlformats.org/officeDocument/2006/relationships/styles" Target="styles.xml"/><Relationship Id="rId6" Type="http://schemas.openxmlformats.org/officeDocument/2006/relationships/hyperlink" Target="mailto:contest@pirspectiv.ru" TargetMode="External"/><Relationship Id="rId7" Type="http://schemas.openxmlformats.org/officeDocument/2006/relationships/hyperlink" Target="http://www.pirspectiv.ru" TargetMode="External"/><Relationship Id="rId8" Type="http://schemas.openxmlformats.org/officeDocument/2006/relationships/hyperlink" Target="mailto:contest@pirspecti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DFB2E75B1EC74DB68CB2F11EBEE3C186_13</vt:lpwstr>
  </property>
</Properties>
</file>